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H7005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RELATING TO TAXATION -- PROPERTY SUBJECT TO TAXATION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both"/>
      </w:pP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440"/>
        <w:jc w:val="left"/>
        <w:rPr>
          <w:b/>
          <w:bCs/>
        </w:rPr>
      </w:pPr>
      <w:r>
        <w:t>Property tax exemptions for legally blind persons exist in several neighboring states, though they vary significantly in structure:</w:t>
        <w:br/>
        <w:br/>
        <w:t>- Massachusetts (M.G.L. c. 59, § 5, Clause 37A) provides a statewide property tax exemption of $437.50 for blind persons, with cities and towns permitted to adopt a local option to increase this amount. This is somewhat analogous to Rhode Island's hybrid approach of a statewide floor with local flexibility — and mirrors the direction this bill takes for Barrington by shifting from a mandated fixed amount to local discretion. See: https://malegislature.gov/Laws/GeneralLaws/PartI/TitleIX/Chapter59/Section5</w:t>
        <w:br/>
        <w:br/>
        <w:t>- Connecticut provides property tax exemptions for totally blind persons under C.G.S. § 12-81(17), offering a flat statewide exemption with municipalities permitted to provide additional relief by local ordinance — again a comparable tiered structure. See: https://www.cga.ct.gov/current/pub/chap_203.htm#sec_12-81</w:t>
        <w:br/>
        <w:br/>
        <w:t>- New York, Vermont, Maine, and New Hampshire do not appear to have closely comparable legislation that specifically mirrors this bill's shift from a fixed statutory exemption to a locally determined tax credit for blind persons. Comparisons with those states could not be found.</w:t>
      </w: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